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40" w:after="330" w:line="1100" w:lineRule="exact"/>
        <w:outlineLvl w:val="0"/>
        <w:rPr>
          <w:rFonts w:hint="eastAsia"/>
          <w:lang w:eastAsia="zh-CN"/>
        </w:rPr>
      </w:pPr>
      <w:r>
        <w:rPr>
          <w:rFonts w:hint="eastAsia" w:ascii="宋体" w:hAnsi="宋体"/>
          <w:sz w:val="74"/>
          <w:szCs w:val="74"/>
        </w:rPr>
        <w:pict>
          <v:line id="直接连接符 2" o:spid="_x0000_s2050" o:spt="20" style="position:absolute;left:0pt;flip:y;margin-left:-1.15pt;margin-top:80.35pt;height:1.5pt;width:415.4pt;z-index:251660288;mso-width-relative:page;mso-height-relative:page;" filled="f" stroked="t" coordsize="21600,21600" o:gfxdata="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DRAfrZAAAACgEAAA8AAAAAAAAAAQAgAAAAIgAAAGRy&#10;cy9kb3ducmV2LnhtbFBLAQIUABQAAAAIAIdO4kAFxPjjBAIAAPIDAAAOAAAAAAAAAAEAIAAAACgB&#10;AABkcnMvZTJvRG9jLnhtbFBLBQYAAAAABgAGAFkBAACeBQAAAAA=&#10;">
            <v:path arrowok="t"/>
            <v:fill on="f" focussize="0,0"/>
            <v:stroke color="#FF0000" joinstyle="round"/>
            <v:imagedata o:title=""/>
            <o:lock v:ext="edit" aspectratio="f"/>
          </v:line>
        </w:pict>
      </w:r>
      <w:r>
        <w:rPr>
          <w:rFonts w:hint="eastAsia" w:ascii="宋体" w:hAnsi="宋体"/>
          <w:sz w:val="74"/>
          <w:szCs w:val="74"/>
        </w:rPr>
        <w:pict>
          <v:line id="直接连接符 3" o:spid="_x0000_s2051" o:spt="20" style="position:absolute;left:0pt;flip:y;margin-left:1.05pt;margin-top:75.1pt;height:1.5pt;width:414.75pt;z-index:251659264;mso-width-relative:page;mso-height-relative:page;" filled="f" stroked="t" coordsize="21600,21600" o:gfxdata="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&#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9uqO2QAAAAkBAAAPAAAAAAAAAAEAIAAAACIAAABk&#10;cnMvZG93bnJldi54bWxQSwECFAAUAAAACACHTuJApOn7IwUCAADzAwAADgAAAAAAAAABACAAAAAo&#10;AQAAZHJzL2Uyb0RvYy54bWxQSwUGAAAAAAYABgBZAQAAnwUAAAAA&#10;">
            <v:path arrowok="t"/>
            <v:fill on="f" focussize="0,0"/>
            <v:stroke weight="2.25pt" color="#FF0000" joinstyle="round"/>
            <v:imagedata o:title=""/>
            <o:lock v:ext="edit" aspectratio="f"/>
          </v:line>
        </w:pict>
      </w:r>
      <w:r>
        <w:rPr>
          <w:rFonts w:hint="eastAsia" w:ascii="宋体" w:hAnsi="宋体" w:cs="宋体"/>
          <w:b/>
          <w:bCs/>
          <w:color w:val="FF0000"/>
          <w:spacing w:val="85"/>
          <w:kern w:val="36"/>
          <w:sz w:val="74"/>
          <w:szCs w:val="74"/>
        </w:rPr>
        <w:t>马尔康市人民检察院</w:t>
      </w:r>
    </w:p>
    <w:p>
      <w:pPr>
        <w:wordWrap w:val="0"/>
        <w:jc w:val="right"/>
        <w:rPr>
          <w:rFonts w:hint="default" w:ascii="方正小标宋简体" w:hAnsi="方正小标宋简体" w:eastAsia="仿宋_GB2312" w:cs="方正小标宋简体"/>
          <w:b/>
          <w:bCs/>
          <w:i w:val="0"/>
          <w:iCs w:val="0"/>
          <w:caps w:val="0"/>
          <w:color w:val="333333"/>
          <w:spacing w:val="0"/>
          <w:sz w:val="44"/>
          <w:szCs w:val="44"/>
          <w:lang w:val="en-US" w:eastAsia="zh-CN"/>
        </w:rPr>
      </w:pPr>
      <w:r>
        <w:rPr>
          <w:rFonts w:hint="eastAsia" w:ascii="仿宋_GB2312" w:hAnsi="宋体" w:eastAsia="仿宋_GB2312"/>
          <w:bCs/>
          <w:sz w:val="32"/>
          <w:szCs w:val="32"/>
        </w:rPr>
        <w:t>〔20</w:t>
      </w:r>
      <w:r>
        <w:rPr>
          <w:rFonts w:hint="eastAsia" w:ascii="仿宋_GB2312" w:hAnsi="宋体" w:eastAsia="仿宋_GB2312"/>
          <w:bCs/>
          <w:sz w:val="32"/>
          <w:szCs w:val="32"/>
          <w:lang w:val="en-US" w:eastAsia="zh-CN"/>
        </w:rPr>
        <w:t>22</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6</w:t>
      </w:r>
      <w:r>
        <w:rPr>
          <w:rFonts w:hint="eastAsia" w:ascii="仿宋_GB2312" w:hAnsi="宋体"/>
          <w:bCs/>
          <w:sz w:val="32"/>
          <w:szCs w:val="32"/>
          <w:lang w:val="en-US" w:eastAsia="zh-CN"/>
        </w:rPr>
        <w:t>9</w:t>
      </w:r>
    </w:p>
    <w:p>
      <w:pPr>
        <w:jc w:val="center"/>
        <w:rPr>
          <w:rFonts w:hint="eastAsia" w:ascii="Arial" w:hAnsi="Arial" w:eastAsia="宋体" w:cs="Arial"/>
          <w:b/>
          <w:sz w:val="36"/>
          <w:szCs w:val="44"/>
          <w:lang w:val="en-US" w:eastAsia="zh-CN"/>
        </w:rPr>
      </w:pPr>
      <w:r>
        <w:rPr>
          <w:rFonts w:hint="eastAsia" w:ascii="Arial" w:hAnsi="Arial" w:eastAsia="宋体" w:cs="Arial"/>
          <w:b/>
          <w:sz w:val="36"/>
          <w:szCs w:val="44"/>
          <w:lang w:val="en-US" w:eastAsia="zh-CN"/>
        </w:rPr>
        <w:t>马尔康市人民检察院</w:t>
      </w:r>
    </w:p>
    <w:p>
      <w:pPr>
        <w:jc w:val="center"/>
        <w:rPr>
          <w:rFonts w:hint="eastAsia" w:ascii="宋体" w:hAnsi="宋体" w:eastAsia="宋体" w:cs="宋体"/>
          <w:b/>
          <w:sz w:val="36"/>
          <w:szCs w:val="44"/>
        </w:rPr>
      </w:pPr>
      <w:r>
        <w:rPr>
          <w:rFonts w:hint="eastAsia" w:ascii="Arial" w:hAnsi="Arial" w:eastAsia="宋体" w:cs="Arial"/>
          <w:b/>
          <w:sz w:val="36"/>
          <w:szCs w:val="44"/>
          <w:lang w:val="en-US" w:eastAsia="zh-CN"/>
        </w:rPr>
        <w:t>关于四川</w:t>
      </w:r>
      <w:r>
        <w:rPr>
          <w:rFonts w:hint="eastAsia" w:ascii="Arial" w:hAnsi="Arial" w:eastAsia="宋体" w:cs="Arial"/>
          <w:b/>
          <w:sz w:val="36"/>
          <w:szCs w:val="44"/>
        </w:rPr>
        <w:t>省</w:t>
      </w:r>
      <w:r>
        <w:rPr>
          <w:rFonts w:hint="eastAsia" w:ascii="Arial" w:hAnsi="Arial" w:eastAsia="宋体" w:cs="Arial"/>
          <w:b/>
          <w:sz w:val="36"/>
          <w:szCs w:val="44"/>
          <w:lang w:val="en-US" w:eastAsia="zh-CN"/>
        </w:rPr>
        <w:t>中央政法纪检监察</w:t>
      </w:r>
      <w:r>
        <w:rPr>
          <w:rFonts w:hint="eastAsia" w:ascii="宋体" w:hAnsi="宋体" w:eastAsia="宋体" w:cs="宋体"/>
          <w:b/>
          <w:sz w:val="36"/>
          <w:szCs w:val="44"/>
        </w:rPr>
        <w:t>转移支付</w:t>
      </w:r>
      <w:r>
        <w:rPr>
          <w:rFonts w:hint="eastAsia" w:ascii="Arial" w:hAnsi="Arial" w:eastAsia="宋体" w:cs="Arial"/>
          <w:b/>
          <w:sz w:val="36"/>
          <w:szCs w:val="44"/>
        </w:rPr>
        <w:t>202</w:t>
      </w:r>
      <w:r>
        <w:rPr>
          <w:rFonts w:hint="eastAsia" w:ascii="Arial" w:hAnsi="Arial" w:eastAsia="宋体" w:cs="Arial"/>
          <w:b/>
          <w:sz w:val="36"/>
          <w:szCs w:val="44"/>
          <w:lang w:val="en-US" w:eastAsia="zh-CN"/>
        </w:rPr>
        <w:t>1</w:t>
      </w:r>
      <w:r>
        <w:rPr>
          <w:rFonts w:hint="eastAsia" w:ascii="宋体" w:hAnsi="宋体" w:eastAsia="宋体" w:cs="宋体"/>
          <w:b/>
          <w:sz w:val="36"/>
          <w:szCs w:val="44"/>
        </w:rPr>
        <w:t>年度</w:t>
      </w:r>
    </w:p>
    <w:p>
      <w:pPr>
        <w:jc w:val="center"/>
        <w:rPr>
          <w:rFonts w:hint="eastAsia" w:ascii="宋体" w:hAnsi="宋体" w:eastAsia="宋体" w:cs="宋体"/>
          <w:b/>
          <w:sz w:val="36"/>
          <w:szCs w:val="44"/>
        </w:rPr>
      </w:pPr>
      <w:r>
        <w:rPr>
          <w:rFonts w:hint="eastAsia" w:ascii="宋体" w:hAnsi="宋体" w:eastAsia="宋体" w:cs="宋体"/>
          <w:b/>
          <w:sz w:val="36"/>
          <w:szCs w:val="44"/>
        </w:rPr>
        <w:t>绩效自评报告</w:t>
      </w:r>
    </w:p>
    <w:p>
      <w:pPr>
        <w:pStyle w:val="2"/>
      </w:pPr>
    </w:p>
    <w:p>
      <w:pPr>
        <w:ind w:firstLine="600" w:firstLineChars="200"/>
        <w:rPr>
          <w:rFonts w:ascii="黑体" w:hAnsi="黑体" w:eastAsia="黑体" w:cs="黑体"/>
          <w:bCs/>
          <w:szCs w:val="32"/>
        </w:rPr>
      </w:pPr>
      <w:r>
        <w:rPr>
          <w:rFonts w:hint="eastAsia" w:ascii="黑体" w:hAnsi="黑体" w:eastAsia="黑体" w:cs="黑体"/>
          <w:bCs/>
          <w:szCs w:val="32"/>
        </w:rPr>
        <w:t>一、绩效目标分解下达情况</w:t>
      </w:r>
    </w:p>
    <w:p>
      <w:pPr>
        <w:ind w:firstLine="600" w:firstLineChars="200"/>
        <w:outlineLvl w:val="0"/>
        <w:rPr>
          <w:rFonts w:ascii="仿宋_GB2312"/>
          <w:szCs w:val="32"/>
        </w:rPr>
      </w:pPr>
      <w:r>
        <w:rPr>
          <w:rFonts w:hint="eastAsia" w:ascii="仿宋_GB2312"/>
          <w:szCs w:val="32"/>
          <w:lang w:val="en-US" w:eastAsia="zh-CN"/>
        </w:rPr>
        <w:t>2021年我院收到中央政法纪检监察转移支付资金共232万元，其中2021年5月7日（马尔财政预「2021」0550号）下达业务款99万元，（马尔财政预「2021」0554号）装备款118万元；2021年12月19日（马尔财政预「2021」1212号）下达业务款15万元。</w:t>
      </w:r>
    </w:p>
    <w:p>
      <w:pPr>
        <w:ind w:firstLine="600" w:firstLineChars="200"/>
        <w:rPr>
          <w:rFonts w:ascii="黑体" w:hAnsi="黑体" w:eastAsia="黑体" w:cs="黑体"/>
          <w:bCs/>
          <w:szCs w:val="32"/>
        </w:rPr>
      </w:pPr>
      <w:r>
        <w:rPr>
          <w:rFonts w:hint="eastAsia" w:ascii="黑体" w:hAnsi="黑体" w:eastAsia="黑体" w:cs="黑体"/>
          <w:bCs/>
          <w:szCs w:val="32"/>
        </w:rPr>
        <w:t>二、绩效目标完成情况分析</w:t>
      </w:r>
    </w:p>
    <w:p>
      <w:pPr>
        <w:ind w:firstLine="602" w:firstLineChars="200"/>
        <w:outlineLvl w:val="0"/>
        <w:rPr>
          <w:rFonts w:hint="default" w:ascii="楷体_GB2312" w:hAnsi="楷体_GB2312" w:eastAsia="楷体_GB2312" w:cs="楷体_GB2312"/>
          <w:b/>
          <w:bCs/>
          <w:szCs w:val="32"/>
          <w:lang w:val="en-US" w:eastAsia="zh-CN"/>
        </w:rPr>
      </w:pPr>
      <w:r>
        <w:rPr>
          <w:rFonts w:hint="eastAsia" w:ascii="楷体_GB2312" w:hAnsi="楷体_GB2312" w:eastAsia="楷体_GB2312" w:cs="楷体_GB2312"/>
          <w:b/>
          <w:bCs/>
          <w:szCs w:val="32"/>
        </w:rPr>
        <w:t>（一）资金投入情况分析。</w:t>
      </w:r>
      <w:r>
        <w:rPr>
          <w:rFonts w:hint="eastAsia" w:ascii="仿宋_GB2312"/>
          <w:szCs w:val="32"/>
          <w:lang w:val="en-US" w:eastAsia="zh-CN"/>
        </w:rPr>
        <w:t>2021年收到中央政法纪检监察转移支付资金共232万元，支出102.72万元，执行率44.28%。</w:t>
      </w:r>
    </w:p>
    <w:p>
      <w:pPr>
        <w:pStyle w:val="5"/>
        <w:ind w:firstLine="602" w:firstLineChars="200"/>
        <w:rPr>
          <w:rFonts w:hint="eastAsia" w:ascii="楷体_GB2312" w:hAnsi="楷体_GB2312" w:eastAsia="楷体_GB2312" w:cs="楷体_GB2312"/>
          <w:b/>
          <w:bCs/>
          <w:kern w:val="2"/>
          <w:sz w:val="30"/>
          <w:szCs w:val="32"/>
          <w:lang w:val="en-US" w:eastAsia="zh-CN" w:bidi="ar-SA"/>
        </w:rPr>
      </w:pPr>
      <w:r>
        <w:rPr>
          <w:rFonts w:hint="eastAsia" w:ascii="楷体_GB2312" w:hAnsi="楷体_GB2312" w:eastAsia="楷体_GB2312" w:cs="楷体_GB2312"/>
          <w:b/>
          <w:bCs/>
          <w:kern w:val="2"/>
          <w:sz w:val="30"/>
          <w:szCs w:val="32"/>
          <w:lang w:val="en-US" w:eastAsia="zh-CN" w:bidi="ar-SA"/>
        </w:rPr>
        <w:t>（二）总体绩效目标完成情况分析。</w:t>
      </w:r>
    </w:p>
    <w:p>
      <w:pPr>
        <w:overflowPunct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绩效总体目标：1、保障检察机关办案需求，提高办案和装备经费保障水平；2、强化资金管理，保障资金使用规范安全。</w:t>
      </w:r>
    </w:p>
    <w:p>
      <w:pPr>
        <w:overflowPunct w:val="0"/>
        <w:spacing w:line="54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1年中央转移支付资金保障了我院</w:t>
      </w:r>
      <w:r>
        <w:rPr>
          <w:rFonts w:hint="eastAsia" w:ascii="仿宋" w:hAnsi="仿宋" w:eastAsia="仿宋" w:cs="仿宋"/>
          <w:sz w:val="32"/>
          <w:szCs w:val="32"/>
        </w:rPr>
        <w:t>受理审查逮捕案件30件44人（其中批准和决定逮捕22件31人，不逮捕8件13人），受理审查起诉案件51件72人（其中起诉44件62人，不起诉4件4人）。</w:t>
      </w:r>
      <w:r>
        <w:rPr>
          <w:rFonts w:hint="eastAsia" w:ascii="仿宋" w:hAnsi="仿宋" w:eastAsia="仿宋"/>
          <w:sz w:val="32"/>
          <w:szCs w:val="32"/>
        </w:rPr>
        <w:t>对1件2人的帮助信息网络犯罪活动罪批准逮捕，对引发白湾乡“1·18火灾”的4名犯罪嫌疑人以重大责任事故罪依法向法院提起公诉。</w:t>
      </w:r>
    </w:p>
    <w:p>
      <w:pPr>
        <w:pStyle w:val="5"/>
        <w:ind w:firstLine="640" w:firstLineChars="200"/>
        <w:rPr>
          <w:rFonts w:hint="eastAsia" w:ascii="仿宋" w:hAnsi="仿宋" w:eastAsia="仿宋"/>
          <w:sz w:val="32"/>
          <w:szCs w:val="32"/>
        </w:rPr>
      </w:pPr>
      <w:r>
        <w:rPr>
          <w:rFonts w:hint="eastAsia" w:ascii="仿宋" w:hAnsi="仿宋" w:eastAsia="仿宋"/>
          <w:sz w:val="32"/>
          <w:szCs w:val="32"/>
        </w:rPr>
        <w:t>积极推进司法救助工作，办理案件4件，救助</w:t>
      </w:r>
      <w:bookmarkStart w:id="0" w:name="拟救助人数"/>
      <w:bookmarkEnd w:id="0"/>
      <w:r>
        <w:rPr>
          <w:rFonts w:hint="eastAsia" w:ascii="仿宋" w:hAnsi="仿宋" w:eastAsia="仿宋"/>
          <w:sz w:val="32"/>
          <w:szCs w:val="32"/>
        </w:rPr>
        <w:t>4人，发放救助金5.5万元，彰显了司法的温度、检察的温暖。</w:t>
      </w:r>
    </w:p>
    <w:p>
      <w:pPr>
        <w:pStyle w:val="5"/>
        <w:ind w:firstLine="640" w:firstLineChars="200"/>
        <w:rPr>
          <w:rFonts w:hint="eastAsia" w:ascii="仿宋" w:hAnsi="仿宋" w:eastAsia="仿宋"/>
          <w:sz w:val="32"/>
          <w:szCs w:val="32"/>
        </w:rPr>
      </w:pPr>
      <w:r>
        <w:rPr>
          <w:rFonts w:hint="eastAsia" w:ascii="仿宋" w:hAnsi="仿宋" w:eastAsia="仿宋"/>
          <w:sz w:val="32"/>
          <w:szCs w:val="32"/>
        </w:rPr>
        <w:t>受理11件信访案件，全部做到7日内程序回复，3个月内办理过程和结果答复，真正把矛盾纠纷化解在基层和首办环节。</w:t>
      </w:r>
    </w:p>
    <w:p>
      <w:pPr>
        <w:pStyle w:val="5"/>
        <w:ind w:firstLine="640" w:firstLineChars="200"/>
        <w:rPr>
          <w:rFonts w:hint="eastAsia" w:ascii="仿宋_GB2312" w:eastAsia="仿宋_GB2312" w:cs="Microsoft Himalaya"/>
          <w:color w:val="000000"/>
          <w:sz w:val="32"/>
          <w:szCs w:val="32"/>
        </w:rPr>
      </w:pPr>
      <w:r>
        <w:rPr>
          <w:rFonts w:hint="eastAsia" w:ascii="仿宋_GB2312" w:hAnsi="仿宋_GB2312" w:eastAsia="仿宋_GB2312"/>
          <w:color w:val="000000"/>
          <w:sz w:val="32"/>
          <w:szCs w:val="32"/>
        </w:rPr>
        <w:t>加强</w:t>
      </w:r>
      <w:r>
        <w:rPr>
          <w:rFonts w:ascii="仿宋_GB2312" w:hAnsi="仿宋_GB2312" w:eastAsia="仿宋_GB2312"/>
          <w:color w:val="000000"/>
          <w:sz w:val="32"/>
          <w:szCs w:val="32"/>
        </w:rPr>
        <w:t>刑事立案监督和侦查活动监督，书面提出纠正侦查活动</w:t>
      </w:r>
      <w:r>
        <w:rPr>
          <w:rFonts w:hint="eastAsia" w:ascii="仿宋_GB2312" w:hAnsi="仿宋_GB2312" w:eastAsia="仿宋_GB2312"/>
          <w:color w:val="000000"/>
          <w:sz w:val="32"/>
          <w:szCs w:val="32"/>
        </w:rPr>
        <w:t>4</w:t>
      </w:r>
      <w:r>
        <w:rPr>
          <w:rFonts w:ascii="仿宋_GB2312" w:hAnsi="仿宋_GB2312" w:eastAsia="仿宋_GB2312"/>
          <w:color w:val="000000"/>
          <w:sz w:val="32"/>
          <w:szCs w:val="32"/>
        </w:rPr>
        <w:t>件，监督公安机关立案</w:t>
      </w:r>
      <w:r>
        <w:rPr>
          <w:rFonts w:hint="eastAsia" w:ascii="仿宋_GB2312" w:hAnsi="仿宋_GB2312" w:eastAsia="仿宋_GB2312"/>
          <w:color w:val="000000"/>
          <w:sz w:val="32"/>
          <w:szCs w:val="32"/>
        </w:rPr>
        <w:t>2</w:t>
      </w:r>
      <w:r>
        <w:rPr>
          <w:rFonts w:ascii="仿宋_GB2312" w:hAnsi="仿宋_GB2312" w:eastAsia="仿宋_GB2312"/>
          <w:color w:val="000000"/>
          <w:sz w:val="32"/>
          <w:szCs w:val="32"/>
        </w:rPr>
        <w:t>件</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纠正漏</w:t>
      </w:r>
      <w:r>
        <w:rPr>
          <w:rFonts w:hint="eastAsia" w:ascii="仿宋_GB2312" w:hAnsi="仿宋_GB2312" w:eastAsia="仿宋_GB2312"/>
          <w:color w:val="000000"/>
          <w:sz w:val="32"/>
          <w:szCs w:val="32"/>
        </w:rPr>
        <w:t>捕1</w:t>
      </w:r>
      <w:r>
        <w:rPr>
          <w:rFonts w:ascii="仿宋_GB2312" w:hAnsi="仿宋_GB2312" w:eastAsia="仿宋_GB2312"/>
          <w:color w:val="000000"/>
          <w:sz w:val="32"/>
          <w:szCs w:val="32"/>
        </w:rPr>
        <w:t>人</w:t>
      </w:r>
      <w:r>
        <w:rPr>
          <w:rFonts w:hint="eastAsia" w:ascii="仿宋_GB2312" w:hAnsi="仿宋_GB2312" w:eastAsia="仿宋_GB2312"/>
          <w:color w:val="000000"/>
          <w:sz w:val="32"/>
          <w:szCs w:val="32"/>
        </w:rPr>
        <w:t>，</w:t>
      </w:r>
      <w:r>
        <w:rPr>
          <w:rFonts w:hint="eastAsia" w:ascii="仿宋" w:hAnsi="仿宋" w:eastAsia="仿宋" w:cs="仿宋"/>
          <w:sz w:val="32"/>
          <w:szCs w:val="32"/>
        </w:rPr>
        <w:t>纠正</w:t>
      </w:r>
      <w:r>
        <w:rPr>
          <w:rFonts w:ascii="仿宋" w:hAnsi="仿宋" w:eastAsia="仿宋" w:cs="仿宋"/>
          <w:sz w:val="32"/>
          <w:szCs w:val="32"/>
        </w:rPr>
        <w:t>漏犯2人</w:t>
      </w:r>
      <w:r>
        <w:rPr>
          <w:rFonts w:hint="eastAsia" w:ascii="仿宋" w:hAnsi="仿宋" w:eastAsia="仿宋" w:cs="仿宋"/>
          <w:sz w:val="32"/>
          <w:szCs w:val="32"/>
        </w:rPr>
        <w:t>；</w:t>
      </w:r>
      <w:r>
        <w:rPr>
          <w:rFonts w:hint="eastAsia" w:ascii="仿宋_GB2312" w:hAnsi="仿宋_GB2312" w:eastAsia="仿宋_GB2312"/>
          <w:color w:val="000000"/>
          <w:sz w:val="32"/>
          <w:szCs w:val="32"/>
        </w:rPr>
        <w:t>监督行政执法机关移送涉嫌犯罪线索1件，公安机关立案1件，有效促进依法行政和公正执法；</w:t>
      </w:r>
      <w:r>
        <w:rPr>
          <w:rFonts w:ascii="仿宋_GB2312" w:hAnsi="仿宋_GB2312" w:eastAsia="仿宋_GB2312"/>
          <w:color w:val="000000"/>
          <w:sz w:val="32"/>
          <w:szCs w:val="32"/>
        </w:rPr>
        <w:t>加强刑事审判监督</w:t>
      </w:r>
      <w:r>
        <w:rPr>
          <w:rFonts w:hint="eastAsia" w:ascii="仿宋_GB2312" w:hAnsi="仿宋_GB2312" w:eastAsia="仿宋_GB2312"/>
          <w:color w:val="000000"/>
          <w:sz w:val="32"/>
          <w:szCs w:val="32"/>
        </w:rPr>
        <w:t>，</w:t>
      </w:r>
      <w:r>
        <w:rPr>
          <w:rFonts w:ascii="仿宋_GB2312" w:hAnsi="仿宋_GB2312" w:eastAsia="仿宋_GB2312"/>
          <w:color w:val="000000"/>
          <w:sz w:val="32"/>
          <w:szCs w:val="32"/>
        </w:rPr>
        <w:t>对刑事判决提出抗诉1件</w:t>
      </w:r>
      <w:r>
        <w:rPr>
          <w:rFonts w:hint="eastAsia" w:ascii="仿宋_GB2312" w:hAnsi="仿宋_GB2312" w:eastAsia="仿宋_GB2312"/>
          <w:color w:val="000000"/>
          <w:sz w:val="32"/>
          <w:szCs w:val="32"/>
        </w:rPr>
        <w:t>，</w:t>
      </w:r>
      <w:r>
        <w:rPr>
          <w:rFonts w:hint="eastAsia" w:ascii="仿宋" w:hAnsi="仿宋" w:eastAsia="仿宋"/>
          <w:sz w:val="32"/>
          <w:szCs w:val="32"/>
        </w:rPr>
        <w:t>参加庭前会议2次，列席审委会2次。</w:t>
      </w:r>
      <w:r>
        <w:rPr>
          <w:rFonts w:ascii="仿宋" w:hAnsi="仿宋" w:eastAsia="仿宋" w:cs="仿宋"/>
          <w:sz w:val="32"/>
          <w:szCs w:val="32"/>
        </w:rPr>
        <w:t>提出量刑建议53人，法院采纳51人，采纳率为96</w:t>
      </w:r>
      <w:r>
        <w:rPr>
          <w:rFonts w:hint="eastAsia" w:ascii="仿宋" w:hAnsi="仿宋" w:eastAsia="仿宋" w:cs="仿宋"/>
          <w:sz w:val="32"/>
          <w:szCs w:val="32"/>
        </w:rPr>
        <w:t>.23%。其中</w:t>
      </w:r>
      <w:r>
        <w:rPr>
          <w:rFonts w:ascii="仿宋" w:hAnsi="仿宋" w:eastAsia="仿宋" w:cs="仿宋"/>
          <w:sz w:val="32"/>
          <w:szCs w:val="32"/>
        </w:rPr>
        <w:t>提出确定刑量刑建议45人，占84.91%，其中法院采纳44人，占97.78%</w:t>
      </w:r>
      <w:r>
        <w:rPr>
          <w:rFonts w:hint="eastAsia" w:ascii="仿宋" w:hAnsi="仿宋" w:eastAsia="仿宋" w:cs="仿宋"/>
          <w:sz w:val="32"/>
          <w:szCs w:val="32"/>
        </w:rPr>
        <w:t>，</w:t>
      </w:r>
      <w:r>
        <w:rPr>
          <w:rFonts w:hint="eastAsia" w:ascii="仿宋" w:hAnsi="仿宋" w:eastAsia="仿宋"/>
          <w:sz w:val="32"/>
          <w:szCs w:val="32"/>
        </w:rPr>
        <w:t>提出案件抗诉1件；</w:t>
      </w:r>
      <w:r>
        <w:rPr>
          <w:rFonts w:hint="eastAsia" w:ascii="仿宋_GB2312" w:eastAsia="仿宋_GB2312" w:cs="Microsoft Himalaya"/>
          <w:color w:val="000000"/>
          <w:sz w:val="32"/>
          <w:szCs w:val="32"/>
        </w:rPr>
        <w:t>强化刑罚执行监督，针对社区矫正中存在的脱管漏管情形发出纠正违法通知书1份，对刑事判决案件财产刑执行情况开展专项检察监督, 发出检察建议4份。</w:t>
      </w:r>
    </w:p>
    <w:p>
      <w:pPr>
        <w:spacing w:line="540" w:lineRule="exact"/>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办理民事监督案件15件，其中，民事执行监督6件、民事审判程序监督4件，民事支持起诉案件5件；办理行政监督案件8件，其中行政审判程序监督4件，深化行政争议实质性化解专项活动，办理实质性行政争议化解案件2件。办理督促行政机关履职案件4件，助推行政机关依法履职；积极延伸检察监督职能，发出民事行政类检察建议9份，采纳率未100%。</w:t>
      </w:r>
    </w:p>
    <w:p>
      <w:pPr>
        <w:pStyle w:val="5"/>
        <w:ind w:firstLine="640" w:firstLineChars="200"/>
        <w:rPr>
          <w:rFonts w:hint="default" w:ascii="仿宋_GB2312" w:hAnsi="仿宋_GB2312" w:eastAsia="仿宋_GB2312" w:cs="仿宋_GB2312"/>
          <w:sz w:val="32"/>
          <w:szCs w:val="32"/>
          <w:lang w:val="en-US" w:eastAsia="zh-CN"/>
        </w:rPr>
      </w:pPr>
      <w:r>
        <w:rPr>
          <w:rFonts w:ascii="仿宋_GB2312" w:eastAsia="仿宋_GB2312" w:cs="Microsoft Himalaya"/>
          <w:color w:val="000000"/>
          <w:kern w:val="0"/>
          <w:sz w:val="32"/>
          <w:szCs w:val="32"/>
        </w:rPr>
        <w:t>办理行政公益诉讼</w:t>
      </w:r>
      <w:r>
        <w:rPr>
          <w:rFonts w:hint="eastAsia" w:ascii="仿宋_GB2312" w:eastAsia="仿宋_GB2312" w:cs="Microsoft Himalaya"/>
          <w:color w:val="000000"/>
          <w:kern w:val="0"/>
          <w:sz w:val="32"/>
          <w:szCs w:val="32"/>
        </w:rPr>
        <w:t>22</w:t>
      </w:r>
      <w:r>
        <w:rPr>
          <w:rFonts w:ascii="仿宋_GB2312" w:eastAsia="仿宋_GB2312" w:cs="Microsoft Himalaya"/>
          <w:color w:val="000000"/>
          <w:kern w:val="0"/>
          <w:sz w:val="32"/>
          <w:szCs w:val="32"/>
        </w:rPr>
        <w:t>件，</w:t>
      </w:r>
      <w:r>
        <w:rPr>
          <w:rFonts w:ascii="仿宋_GB2312" w:hAnsi="仿宋_GB2312" w:eastAsia="仿宋_GB2312"/>
          <w:color w:val="000000"/>
          <w:sz w:val="32"/>
          <w:szCs w:val="32"/>
        </w:rPr>
        <w:t>诉前建议共</w:t>
      </w:r>
      <w:r>
        <w:rPr>
          <w:rFonts w:hint="eastAsia" w:ascii="仿宋_GB2312" w:hAnsi="仿宋_GB2312" w:eastAsia="仿宋_GB2312"/>
          <w:color w:val="000000"/>
          <w:sz w:val="32"/>
          <w:szCs w:val="32"/>
        </w:rPr>
        <w:t>发</w:t>
      </w:r>
      <w:r>
        <w:rPr>
          <w:rFonts w:ascii="仿宋_GB2312" w:hAnsi="仿宋_GB2312" w:eastAsia="仿宋_GB2312"/>
          <w:color w:val="000000"/>
          <w:sz w:val="32"/>
          <w:szCs w:val="32"/>
        </w:rPr>
        <w:t>出2</w:t>
      </w:r>
      <w:r>
        <w:rPr>
          <w:rFonts w:hint="eastAsia" w:ascii="仿宋_GB2312" w:hAnsi="仿宋_GB2312" w:eastAsia="仿宋_GB2312"/>
          <w:color w:val="000000"/>
          <w:sz w:val="32"/>
          <w:szCs w:val="32"/>
        </w:rPr>
        <w:t>2</w:t>
      </w:r>
      <w:r>
        <w:rPr>
          <w:rFonts w:ascii="仿宋_GB2312" w:hAnsi="仿宋_GB2312" w:eastAsia="仿宋_GB2312"/>
          <w:color w:val="000000"/>
          <w:sz w:val="32"/>
          <w:szCs w:val="32"/>
        </w:rPr>
        <w:t>件，行政机关纠正违法或履行职责</w:t>
      </w:r>
      <w:r>
        <w:rPr>
          <w:rFonts w:hint="eastAsia" w:ascii="仿宋_GB2312" w:hAnsi="仿宋_GB2312" w:eastAsia="仿宋_GB2312"/>
          <w:color w:val="000000"/>
          <w:sz w:val="32"/>
          <w:szCs w:val="32"/>
        </w:rPr>
        <w:t>22</w:t>
      </w:r>
      <w:r>
        <w:rPr>
          <w:rFonts w:ascii="仿宋_GB2312" w:hAnsi="仿宋_GB2312" w:eastAsia="仿宋_GB2312"/>
          <w:color w:val="000000"/>
          <w:sz w:val="32"/>
          <w:szCs w:val="32"/>
        </w:rPr>
        <w:t>件，整改率为</w:t>
      </w:r>
      <w:r>
        <w:rPr>
          <w:rFonts w:hint="eastAsia" w:ascii="仿宋_GB2312" w:hAnsi="仿宋_GB2312" w:eastAsia="仿宋_GB2312"/>
          <w:color w:val="000000"/>
          <w:sz w:val="32"/>
          <w:szCs w:val="32"/>
        </w:rPr>
        <w:t>100</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w:t>
      </w:r>
    </w:p>
    <w:p>
      <w:pPr>
        <w:ind w:firstLine="602" w:firstLineChars="200"/>
        <w:outlineLvl w:val="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（三）绩效指标完成情况分析。</w:t>
      </w:r>
    </w:p>
    <w:p>
      <w:pPr>
        <w:ind w:firstLine="640" w:firstLineChars="200"/>
        <w:outlineLvl w:val="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1、公益诉讼案件数量，指标值</w:t>
      </w:r>
      <w:r>
        <w:rPr>
          <w:rFonts w:hint="eastAsia" w:ascii="仿宋_GB2312" w:hAnsi="仿宋_GB2312" w:cs="仿宋_GB2312"/>
          <w:kern w:val="0"/>
          <w:sz w:val="32"/>
          <w:szCs w:val="32"/>
          <w:lang w:val="en-US" w:eastAsia="zh-CN" w:bidi="ar-SA"/>
        </w:rPr>
        <w:t>20</w:t>
      </w:r>
      <w:r>
        <w:rPr>
          <w:rFonts w:hint="eastAsia" w:ascii="仿宋_GB2312" w:hAnsi="仿宋_GB2312" w:eastAsia="仿宋_GB2312" w:cs="仿宋_GB2312"/>
          <w:kern w:val="0"/>
          <w:sz w:val="32"/>
          <w:szCs w:val="32"/>
          <w:lang w:val="en-US" w:eastAsia="zh-CN" w:bidi="ar-SA"/>
        </w:rPr>
        <w:t>件，完成数量</w:t>
      </w:r>
      <w:r>
        <w:rPr>
          <w:rFonts w:hint="eastAsia" w:ascii="仿宋_GB2312" w:hAnsi="仿宋_GB2312" w:cs="仿宋_GB2312"/>
          <w:kern w:val="0"/>
          <w:sz w:val="32"/>
          <w:szCs w:val="32"/>
          <w:lang w:val="en-US" w:eastAsia="zh-CN" w:bidi="ar-SA"/>
        </w:rPr>
        <w:t>22</w:t>
      </w:r>
      <w:r>
        <w:rPr>
          <w:rFonts w:hint="eastAsia" w:ascii="仿宋_GB2312" w:hAnsi="仿宋_GB2312" w:eastAsia="仿宋_GB2312" w:cs="仿宋_GB2312"/>
          <w:kern w:val="0"/>
          <w:sz w:val="32"/>
          <w:szCs w:val="32"/>
          <w:lang w:val="en-US" w:eastAsia="zh-CN" w:bidi="ar-SA"/>
        </w:rPr>
        <w:t>件；</w:t>
      </w:r>
    </w:p>
    <w:p>
      <w:pPr>
        <w:ind w:firstLine="640" w:firstLineChars="200"/>
        <w:outlineLvl w:val="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2、立案监督案件办理数，指标值</w:t>
      </w:r>
      <w:r>
        <w:rPr>
          <w:rFonts w:hint="eastAsia" w:ascii="仿宋_GB2312" w:hAnsi="仿宋_GB2312" w:cs="仿宋_GB2312"/>
          <w:kern w:val="0"/>
          <w:sz w:val="32"/>
          <w:szCs w:val="32"/>
          <w:lang w:val="en-US" w:eastAsia="zh-CN" w:bidi="ar-SA"/>
        </w:rPr>
        <w:t>2</w:t>
      </w:r>
      <w:r>
        <w:rPr>
          <w:rFonts w:hint="eastAsia" w:ascii="仿宋_GB2312" w:hAnsi="仿宋_GB2312" w:eastAsia="仿宋_GB2312" w:cs="仿宋_GB2312"/>
          <w:kern w:val="0"/>
          <w:sz w:val="32"/>
          <w:szCs w:val="32"/>
          <w:lang w:val="en-US" w:eastAsia="zh-CN" w:bidi="ar-SA"/>
        </w:rPr>
        <w:t>件，完成数量2件；</w:t>
      </w:r>
    </w:p>
    <w:p>
      <w:pPr>
        <w:ind w:firstLine="640" w:firstLineChars="200"/>
        <w:outlineLvl w:val="0"/>
        <w:rPr>
          <w:rFonts w:hint="eastAsia" w:ascii="仿宋_GB2312" w:hAnsi="仿宋_GB2312" w:eastAsia="仿宋_GB2312" w:cs="仿宋_GB2312"/>
          <w:kern w:val="0"/>
          <w:sz w:val="32"/>
          <w:szCs w:val="32"/>
          <w:lang w:val="en-US" w:eastAsia="zh-CN" w:bidi="ar-SA"/>
        </w:rPr>
      </w:pPr>
      <w:r>
        <w:rPr>
          <w:rFonts w:hint="eastAsia" w:ascii="仿宋_GB2312" w:hAnsi="仿宋_GB2312" w:cs="仿宋_GB2312"/>
          <w:kern w:val="0"/>
          <w:sz w:val="32"/>
          <w:szCs w:val="32"/>
          <w:lang w:val="en-US" w:eastAsia="zh-CN" w:bidi="ar-SA"/>
        </w:rPr>
        <w:t>3</w:t>
      </w:r>
      <w:r>
        <w:rPr>
          <w:rFonts w:hint="eastAsia" w:ascii="仿宋_GB2312" w:hAnsi="仿宋_GB2312" w:eastAsia="仿宋_GB2312" w:cs="仿宋_GB2312"/>
          <w:kern w:val="0"/>
          <w:sz w:val="32"/>
          <w:szCs w:val="32"/>
          <w:lang w:val="en-US" w:eastAsia="zh-CN" w:bidi="ar-SA"/>
        </w:rPr>
        <w:t>、案件办结率，指标值98%，全年实际完成值100%；</w:t>
      </w:r>
    </w:p>
    <w:p>
      <w:pPr>
        <w:pStyle w:val="8"/>
        <w:rPr>
          <w:rFonts w:hint="default"/>
          <w:lang w:val="en-US" w:eastAsia="zh-CN"/>
        </w:rPr>
      </w:pPr>
      <w:r>
        <w:rPr>
          <w:rFonts w:hint="eastAsia" w:ascii="仿宋_GB2312" w:hAnsi="仿宋_GB2312" w:cs="仿宋_GB2312"/>
          <w:kern w:val="0"/>
          <w:sz w:val="32"/>
          <w:szCs w:val="32"/>
          <w:lang w:val="en-US" w:eastAsia="zh-CN" w:bidi="ar-SA"/>
        </w:rPr>
        <w:t>4</w:t>
      </w:r>
      <w:r>
        <w:rPr>
          <w:rFonts w:hint="eastAsia" w:ascii="仿宋_GB2312" w:hAnsi="仿宋_GB2312" w:eastAsia="仿宋_GB2312" w:cs="仿宋_GB2312"/>
          <w:kern w:val="0"/>
          <w:sz w:val="32"/>
          <w:szCs w:val="32"/>
          <w:lang w:val="en-US" w:eastAsia="zh-CN" w:bidi="ar-SA"/>
        </w:rPr>
        <w:t>、办理案件的时间节点，指标值</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在时限内办理，全年实际完成值</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每件案件均在时限内办理；</w:t>
      </w:r>
    </w:p>
    <w:p>
      <w:pPr>
        <w:ind w:firstLine="640" w:firstLineChars="200"/>
        <w:outlineLvl w:val="0"/>
        <w:rPr>
          <w:rFonts w:hint="eastAsia" w:ascii="仿宋_GB2312" w:hAnsi="仿宋_GB2312" w:eastAsia="仿宋_GB2312" w:cs="仿宋_GB2312"/>
          <w:kern w:val="0"/>
          <w:sz w:val="32"/>
          <w:szCs w:val="32"/>
          <w:lang w:val="en-US" w:eastAsia="zh-CN" w:bidi="ar-SA"/>
        </w:rPr>
      </w:pPr>
      <w:r>
        <w:rPr>
          <w:rFonts w:hint="eastAsia" w:ascii="仿宋_GB2312" w:hAnsi="仿宋_GB2312" w:cs="仿宋_GB2312"/>
          <w:kern w:val="0"/>
          <w:sz w:val="32"/>
          <w:szCs w:val="32"/>
          <w:lang w:val="en-US" w:eastAsia="zh-CN" w:bidi="ar-SA"/>
        </w:rPr>
        <w:t>5</w:t>
      </w:r>
      <w:r>
        <w:rPr>
          <w:rFonts w:hint="eastAsia" w:ascii="仿宋_GB2312" w:hAnsi="仿宋_GB2312" w:eastAsia="仿宋_GB2312" w:cs="仿宋_GB2312"/>
          <w:kern w:val="0"/>
          <w:sz w:val="32"/>
          <w:szCs w:val="32"/>
          <w:lang w:val="en-US" w:eastAsia="zh-CN" w:bidi="ar-SA"/>
        </w:rPr>
        <w:t>、化解社会矛盾，为经济社会发展提供良好环境，指标值</w:t>
      </w:r>
      <w:r>
        <w:rPr>
          <w:rFonts w:hint="eastAsia" w:ascii="仿宋_GB2312" w:hAnsi="仿宋_GB2312" w:cs="仿宋_GB2312"/>
          <w:kern w:val="0"/>
          <w:sz w:val="32"/>
          <w:szCs w:val="32"/>
          <w:lang w:val="en-US" w:eastAsia="zh-CN" w:bidi="ar-SA"/>
        </w:rPr>
        <w:t>优</w:t>
      </w:r>
      <w:r>
        <w:rPr>
          <w:rFonts w:hint="eastAsia" w:ascii="仿宋_GB2312" w:hAnsi="仿宋_GB2312" w:eastAsia="仿宋_GB2312" w:cs="仿宋_GB2312"/>
          <w:kern w:val="0"/>
          <w:sz w:val="32"/>
          <w:szCs w:val="32"/>
          <w:lang w:val="en-US" w:eastAsia="zh-CN" w:bidi="ar-SA"/>
        </w:rPr>
        <w:t>，全年实际完成值</w:t>
      </w:r>
      <w:r>
        <w:rPr>
          <w:rFonts w:hint="eastAsia" w:ascii="仿宋_GB2312" w:hAnsi="仿宋_GB2312" w:cs="仿宋_GB2312"/>
          <w:kern w:val="0"/>
          <w:sz w:val="32"/>
          <w:szCs w:val="32"/>
          <w:lang w:val="en-US" w:eastAsia="zh-CN" w:bidi="ar-SA"/>
        </w:rPr>
        <w:t>优</w:t>
      </w:r>
      <w:r>
        <w:rPr>
          <w:rFonts w:hint="eastAsia" w:ascii="仿宋_GB2312" w:hAnsi="仿宋_GB2312" w:eastAsia="仿宋_GB2312" w:cs="仿宋_GB2312"/>
          <w:kern w:val="0"/>
          <w:sz w:val="32"/>
          <w:szCs w:val="32"/>
          <w:lang w:val="en-US" w:eastAsia="zh-CN" w:bidi="ar-SA"/>
        </w:rPr>
        <w:t>；</w:t>
      </w:r>
    </w:p>
    <w:p>
      <w:pPr>
        <w:ind w:firstLine="640" w:firstLineChars="200"/>
        <w:outlineLvl w:val="0"/>
        <w:rPr>
          <w:rFonts w:hint="eastAsia" w:ascii="仿宋_GB2312" w:hAnsi="仿宋_GB2312" w:eastAsia="仿宋_GB2312" w:cs="仿宋_GB2312"/>
          <w:kern w:val="0"/>
          <w:sz w:val="32"/>
          <w:szCs w:val="32"/>
          <w:lang w:val="en-US" w:eastAsia="zh-CN" w:bidi="ar-SA"/>
        </w:rPr>
      </w:pPr>
      <w:r>
        <w:rPr>
          <w:rFonts w:hint="eastAsia" w:ascii="仿宋_GB2312" w:hAnsi="仿宋_GB2312" w:cs="仿宋_GB2312"/>
          <w:kern w:val="0"/>
          <w:sz w:val="32"/>
          <w:szCs w:val="32"/>
          <w:lang w:val="en-US" w:eastAsia="zh-CN" w:bidi="ar-SA"/>
        </w:rPr>
        <w:t>6</w:t>
      </w:r>
      <w:r>
        <w:rPr>
          <w:rFonts w:hint="eastAsia" w:ascii="仿宋_GB2312" w:hAnsi="仿宋_GB2312" w:eastAsia="仿宋_GB2312" w:cs="仿宋_GB2312"/>
          <w:kern w:val="0"/>
          <w:sz w:val="32"/>
          <w:szCs w:val="32"/>
          <w:lang w:val="en-US" w:eastAsia="zh-CN" w:bidi="ar-SA"/>
        </w:rPr>
        <w:t>、社会公众满意度，指标值98%，全年实际完成值100%；</w:t>
      </w:r>
    </w:p>
    <w:p>
      <w:pPr>
        <w:ind w:firstLine="600" w:firstLineChars="200"/>
        <w:outlineLvl w:val="0"/>
        <w:rPr>
          <w:rFonts w:ascii="仿宋_GB2312"/>
          <w:szCs w:val="32"/>
        </w:rPr>
      </w:pPr>
      <w:r>
        <w:rPr>
          <w:rFonts w:hint="eastAsia" w:ascii="黑体" w:hAnsi="黑体" w:eastAsia="黑体" w:cs="黑体"/>
          <w:bCs/>
          <w:szCs w:val="32"/>
        </w:rPr>
        <w:t>三、偏离绩效目标的原因和下一步改进措施</w:t>
      </w:r>
    </w:p>
    <w:p>
      <w:pPr>
        <w:ind w:firstLine="600" w:firstLineChars="200"/>
        <w:rPr>
          <w:rFonts w:hint="default" w:ascii="仿宋_GB2312"/>
          <w:szCs w:val="32"/>
          <w:lang w:val="en-US" w:eastAsia="zh-CN"/>
        </w:rPr>
      </w:pPr>
      <w:r>
        <w:rPr>
          <w:rFonts w:hint="eastAsia" w:ascii="仿宋_GB2312"/>
          <w:szCs w:val="32"/>
          <w:lang w:val="en-US" w:eastAsia="zh-CN"/>
        </w:rPr>
        <w:t>执行率较差。由于中央政法纪检监察转移支付资金为中央专款，使用范围有限，2021年未全部使用，导致执行率较差。</w:t>
      </w:r>
    </w:p>
    <w:p>
      <w:pPr>
        <w:numPr>
          <w:ilvl w:val="0"/>
          <w:numId w:val="1"/>
        </w:numPr>
        <w:ind w:firstLine="600" w:firstLineChars="200"/>
        <w:rPr>
          <w:rFonts w:hint="eastAsia" w:ascii="黑体" w:hAnsi="黑体" w:eastAsia="黑体" w:cs="黑体"/>
          <w:bCs/>
          <w:szCs w:val="32"/>
        </w:rPr>
      </w:pPr>
      <w:r>
        <w:rPr>
          <w:rFonts w:hint="eastAsia" w:ascii="黑体" w:hAnsi="黑体" w:eastAsia="黑体" w:cs="黑体"/>
          <w:bCs/>
          <w:szCs w:val="32"/>
        </w:rPr>
        <w:t>绩效自评结果拟应用和公开情况</w:t>
      </w:r>
    </w:p>
    <w:p>
      <w:pPr>
        <w:ind w:firstLine="600" w:firstLineChars="200"/>
        <w:rPr>
          <w:rFonts w:hint="default" w:ascii="仿宋_GB2312"/>
          <w:szCs w:val="32"/>
          <w:lang w:val="en-US" w:eastAsia="zh-CN"/>
        </w:rPr>
      </w:pPr>
      <w:r>
        <w:rPr>
          <w:rFonts w:hint="eastAsia" w:ascii="仿宋_GB2312"/>
          <w:szCs w:val="32"/>
          <w:lang w:val="en-US" w:eastAsia="zh-CN"/>
        </w:rPr>
        <w:t xml:space="preserve"> 我院中央政法纪检监察转移支付绩效自评表及自评报告已在本院门户网站中进行公开。</w:t>
      </w:r>
    </w:p>
    <w:p>
      <w:pPr>
        <w:ind w:firstLine="600" w:firstLineChars="200"/>
        <w:rPr>
          <w:rFonts w:ascii="黑体" w:hAnsi="黑体" w:eastAsia="黑体" w:cs="黑体"/>
          <w:bCs/>
          <w:szCs w:val="32"/>
        </w:rPr>
      </w:pPr>
      <w:r>
        <w:rPr>
          <w:rFonts w:hint="eastAsia" w:ascii="黑体" w:hAnsi="黑体" w:eastAsia="黑体" w:cs="黑体"/>
          <w:bCs/>
          <w:szCs w:val="32"/>
        </w:rPr>
        <w:t>五、其他需要说明的问题</w:t>
      </w:r>
    </w:p>
    <w:p>
      <w:pPr>
        <w:ind w:firstLine="1200" w:firstLineChars="400"/>
        <w:rPr>
          <w:rFonts w:hint="eastAsia"/>
          <w:lang w:val="en-US" w:eastAsia="zh-CN"/>
        </w:rPr>
      </w:pPr>
      <w:r>
        <w:rPr>
          <w:rFonts w:hint="eastAsia"/>
          <w:lang w:val="en-US" w:eastAsia="zh-CN"/>
        </w:rPr>
        <w:t>无</w:t>
      </w:r>
    </w:p>
    <w:p>
      <w:pPr>
        <w:pStyle w:val="2"/>
        <w:rPr>
          <w:rFonts w:hint="eastAsia"/>
          <w:lang w:val="en-US" w:eastAsia="zh-CN"/>
        </w:rPr>
      </w:pPr>
    </w:p>
    <w:p>
      <w:pPr>
        <w:rPr>
          <w:rFonts w:hint="eastAsia"/>
          <w:lang w:val="en-US" w:eastAsia="zh-CN"/>
        </w:rPr>
      </w:pPr>
    </w:p>
    <w:p>
      <w:pPr>
        <w:pStyle w:val="2"/>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马尔康市人民检察院</w:t>
      </w:r>
    </w:p>
    <w:p>
      <w:pPr>
        <w:jc w:val="righ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w:t>
      </w:r>
      <w:bookmarkStart w:id="1" w:name="_GoBack"/>
      <w:bookmarkEnd w:id="1"/>
      <w:r>
        <w:rPr>
          <w:rFonts w:hint="eastAsia" w:ascii="仿宋_GB2312" w:hAnsi="仿宋_GB2312" w:eastAsia="仿宋_GB2312" w:cs="仿宋_GB2312"/>
          <w:kern w:val="2"/>
          <w:sz w:val="32"/>
          <w:szCs w:val="32"/>
          <w:lang w:val="en-US" w:eastAsia="zh-CN" w:bidi="ar-SA"/>
        </w:rPr>
        <w:t>年8月18日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7E806D"/>
    <w:multiLevelType w:val="singleLevel"/>
    <w:tmpl w:val="717E806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bordersDoNotSurroundHeader w:val="0"/>
  <w:bordersDoNotSurroundFooter w:val="0"/>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4MmY2Yjg1MzllYzQ4OTNmOTk5MWQ0MzczYTRhOGQifQ=="/>
  </w:docVars>
  <w:rsids>
    <w:rsidRoot w:val="00F57F82"/>
    <w:rsid w:val="000101E1"/>
    <w:rsid w:val="000732DA"/>
    <w:rsid w:val="00075CDC"/>
    <w:rsid w:val="000B0C25"/>
    <w:rsid w:val="000B1E8F"/>
    <w:rsid w:val="000B6964"/>
    <w:rsid w:val="00103656"/>
    <w:rsid w:val="00103D16"/>
    <w:rsid w:val="00111638"/>
    <w:rsid w:val="00111928"/>
    <w:rsid w:val="0012041C"/>
    <w:rsid w:val="00164D84"/>
    <w:rsid w:val="00173016"/>
    <w:rsid w:val="0017509C"/>
    <w:rsid w:val="001808CA"/>
    <w:rsid w:val="001A197D"/>
    <w:rsid w:val="001A4E46"/>
    <w:rsid w:val="001C751F"/>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B53E7"/>
    <w:rsid w:val="005D0B8C"/>
    <w:rsid w:val="005D1514"/>
    <w:rsid w:val="005D7CC3"/>
    <w:rsid w:val="00605EDC"/>
    <w:rsid w:val="006218A1"/>
    <w:rsid w:val="00682A10"/>
    <w:rsid w:val="006A30E4"/>
    <w:rsid w:val="006A74BF"/>
    <w:rsid w:val="006C1CEE"/>
    <w:rsid w:val="006D5A86"/>
    <w:rsid w:val="00707C2E"/>
    <w:rsid w:val="00713045"/>
    <w:rsid w:val="00722A7D"/>
    <w:rsid w:val="00724A6B"/>
    <w:rsid w:val="0073331B"/>
    <w:rsid w:val="00733C2D"/>
    <w:rsid w:val="00756C7F"/>
    <w:rsid w:val="007D7E6E"/>
    <w:rsid w:val="00850797"/>
    <w:rsid w:val="00853FC4"/>
    <w:rsid w:val="008720F1"/>
    <w:rsid w:val="00882EFA"/>
    <w:rsid w:val="008B2F56"/>
    <w:rsid w:val="008B5BF3"/>
    <w:rsid w:val="008F0996"/>
    <w:rsid w:val="00903791"/>
    <w:rsid w:val="009600BD"/>
    <w:rsid w:val="00961C83"/>
    <w:rsid w:val="009922BC"/>
    <w:rsid w:val="009E0D8C"/>
    <w:rsid w:val="00A02AF3"/>
    <w:rsid w:val="00A25077"/>
    <w:rsid w:val="00A610CC"/>
    <w:rsid w:val="00A8737E"/>
    <w:rsid w:val="00AA19AF"/>
    <w:rsid w:val="00AB1C6B"/>
    <w:rsid w:val="00AE1015"/>
    <w:rsid w:val="00AF79EB"/>
    <w:rsid w:val="00B71CDA"/>
    <w:rsid w:val="00BB07F9"/>
    <w:rsid w:val="00BC6882"/>
    <w:rsid w:val="00BD3FE0"/>
    <w:rsid w:val="00BD4D80"/>
    <w:rsid w:val="00BE58CF"/>
    <w:rsid w:val="00BF30C5"/>
    <w:rsid w:val="00CA5578"/>
    <w:rsid w:val="00CA7DAA"/>
    <w:rsid w:val="00CD440E"/>
    <w:rsid w:val="00D04826"/>
    <w:rsid w:val="00D367DF"/>
    <w:rsid w:val="00D63908"/>
    <w:rsid w:val="00D8718A"/>
    <w:rsid w:val="00D93453"/>
    <w:rsid w:val="00DC524D"/>
    <w:rsid w:val="00E071D6"/>
    <w:rsid w:val="00ED3E0F"/>
    <w:rsid w:val="00F015E4"/>
    <w:rsid w:val="00F1429C"/>
    <w:rsid w:val="00F57F82"/>
    <w:rsid w:val="00F645D4"/>
    <w:rsid w:val="00F75224"/>
    <w:rsid w:val="00F91EAE"/>
    <w:rsid w:val="00FA086C"/>
    <w:rsid w:val="00FA2093"/>
    <w:rsid w:val="00FA357A"/>
    <w:rsid w:val="037D0BC8"/>
    <w:rsid w:val="075866C5"/>
    <w:rsid w:val="0845082D"/>
    <w:rsid w:val="09E965F2"/>
    <w:rsid w:val="0ADB334A"/>
    <w:rsid w:val="139840D3"/>
    <w:rsid w:val="143E091F"/>
    <w:rsid w:val="14865FC8"/>
    <w:rsid w:val="150C2DB0"/>
    <w:rsid w:val="185B4287"/>
    <w:rsid w:val="1E761F05"/>
    <w:rsid w:val="1FC7205C"/>
    <w:rsid w:val="228B3D05"/>
    <w:rsid w:val="284E74F8"/>
    <w:rsid w:val="2ADB48E8"/>
    <w:rsid w:val="36687282"/>
    <w:rsid w:val="38EF7AD8"/>
    <w:rsid w:val="3AB55433"/>
    <w:rsid w:val="3E1672E6"/>
    <w:rsid w:val="415F08D8"/>
    <w:rsid w:val="44CE75B1"/>
    <w:rsid w:val="44E2230F"/>
    <w:rsid w:val="48B51347"/>
    <w:rsid w:val="491B45FA"/>
    <w:rsid w:val="4A55216A"/>
    <w:rsid w:val="4FE0696A"/>
    <w:rsid w:val="55673508"/>
    <w:rsid w:val="59595A6F"/>
    <w:rsid w:val="599330CA"/>
    <w:rsid w:val="60D5009F"/>
    <w:rsid w:val="64AC2E11"/>
    <w:rsid w:val="660721C9"/>
    <w:rsid w:val="661E6C75"/>
    <w:rsid w:val="67F75FF5"/>
    <w:rsid w:val="681D4831"/>
    <w:rsid w:val="686A5FC0"/>
    <w:rsid w:val="692E4B19"/>
    <w:rsid w:val="69513EF7"/>
    <w:rsid w:val="69DD6483"/>
    <w:rsid w:val="6BF3256F"/>
    <w:rsid w:val="6CE7018A"/>
    <w:rsid w:val="6E3E3F2D"/>
    <w:rsid w:val="70C0427B"/>
    <w:rsid w:val="715B2F02"/>
    <w:rsid w:val="73143B82"/>
    <w:rsid w:val="76A548F2"/>
    <w:rsid w:val="7765772E"/>
    <w:rsid w:val="77867685"/>
    <w:rsid w:val="781F36B6"/>
    <w:rsid w:val="790627AD"/>
    <w:rsid w:val="7ADC59FA"/>
    <w:rsid w:val="7DDD79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9"/>
    <w:qFormat/>
    <w:uiPriority w:val="99"/>
    <w:pPr>
      <w:tabs>
        <w:tab w:val="center" w:pos="4153"/>
        <w:tab w:val="right" w:pos="8306"/>
      </w:tabs>
      <w:snapToGrid w:val="0"/>
      <w:jc w:val="left"/>
    </w:pPr>
    <w:rPr>
      <w:sz w:val="18"/>
      <w:szCs w:val="18"/>
    </w:rPr>
  </w:style>
  <w:style w:type="paragraph" w:styleId="3">
    <w:name w:val="Balloon Text"/>
    <w:basedOn w:val="1"/>
    <w:link w:val="11"/>
    <w:qFormat/>
    <w:uiPriority w:val="0"/>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常用样式（方正仿宋简）"/>
    <w:basedOn w:val="1"/>
    <w:next w:val="1"/>
    <w:qFormat/>
    <w:uiPriority w:val="99"/>
    <w:pPr>
      <w:spacing w:line="560" w:lineRule="exact"/>
      <w:ind w:firstLine="640" w:firstLineChars="200"/>
    </w:pPr>
  </w:style>
  <w:style w:type="character" w:customStyle="1" w:styleId="9">
    <w:name w:val="页脚 Char"/>
    <w:basedOn w:val="7"/>
    <w:link w:val="2"/>
    <w:qFormat/>
    <w:uiPriority w:val="99"/>
    <w:rPr>
      <w:rFonts w:eastAsia="仿宋_GB2312"/>
      <w:kern w:val="2"/>
      <w:sz w:val="18"/>
      <w:szCs w:val="18"/>
    </w:rPr>
  </w:style>
  <w:style w:type="character" w:customStyle="1" w:styleId="10">
    <w:name w:val="页眉 Char"/>
    <w:basedOn w:val="7"/>
    <w:link w:val="4"/>
    <w:qFormat/>
    <w:uiPriority w:val="0"/>
    <w:rPr>
      <w:rFonts w:eastAsia="仿宋_GB2312"/>
      <w:kern w:val="2"/>
      <w:sz w:val="18"/>
      <w:szCs w:val="18"/>
    </w:rPr>
  </w:style>
  <w:style w:type="character" w:customStyle="1" w:styleId="11">
    <w:name w:val="批注框文本 Char"/>
    <w:basedOn w:val="7"/>
    <w:link w:val="3"/>
    <w:qFormat/>
    <w:uiPriority w:val="0"/>
    <w:rPr>
      <w:rFonts w:eastAsia="仿宋_GB2312"/>
      <w:kern w:val="2"/>
      <w:sz w:val="18"/>
      <w:szCs w:val="18"/>
    </w:rPr>
  </w:style>
  <w:style w:type="character" w:customStyle="1" w:styleId="12">
    <w:name w:val="font21"/>
    <w:basedOn w:val="7"/>
    <w:uiPriority w:val="0"/>
    <w:rPr>
      <w:rFonts w:hint="eastAsia" w:ascii="宋体" w:hAnsi="宋体" w:eastAsia="宋体" w:cs="宋体"/>
      <w:b/>
      <w:color w:val="000000"/>
      <w:sz w:val="32"/>
      <w:szCs w:val="32"/>
      <w:u w:val="none"/>
    </w:rPr>
  </w:style>
  <w:style w:type="character" w:customStyle="1" w:styleId="13">
    <w:name w:val="font131"/>
    <w:basedOn w:val="7"/>
    <w:qFormat/>
    <w:uiPriority w:val="0"/>
    <w:rPr>
      <w:rFonts w:hint="eastAsia" w:ascii="宋体" w:hAnsi="宋体" w:eastAsia="宋体" w:cs="宋体"/>
      <w:color w:val="000000"/>
      <w:sz w:val="32"/>
      <w:szCs w:val="32"/>
      <w:u w:val="none"/>
    </w:rPr>
  </w:style>
  <w:style w:type="character" w:customStyle="1" w:styleId="14">
    <w:name w:val="font81"/>
    <w:basedOn w:val="7"/>
    <w:uiPriority w:val="0"/>
    <w:rPr>
      <w:rFonts w:hint="eastAsia" w:ascii="宋体" w:hAnsi="宋体" w:eastAsia="宋体" w:cs="宋体"/>
      <w:color w:val="000000"/>
      <w:sz w:val="20"/>
      <w:szCs w:val="20"/>
      <w:u w:val="none"/>
    </w:rPr>
  </w:style>
  <w:style w:type="character" w:customStyle="1" w:styleId="15">
    <w:name w:val="font11"/>
    <w:basedOn w:val="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34020-2A77-4F97-B3F8-D0EAAAEA41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1294</Words>
  <Characters>1407</Characters>
  <Lines>1</Lines>
  <Paragraphs>1</Paragraphs>
  <TotalTime>1</TotalTime>
  <ScaleCrop>false</ScaleCrop>
  <LinksUpToDate>false</LinksUpToDate>
  <CharactersWithSpaces>1409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2021-03-09T02:52:00Z</dcterms:created>
  <dc:creator>lhn</dc:creator>
  <cp:lastModifiedBy>sandie</cp:lastModifiedBy>
  <cp:lastPrinted>2021-02-26T03:07:00Z</cp:lastPrinted>
  <dcterms:modified xsi:type="dcterms:W3CDTF">2022-08-19T00:55:57Z</dcterms:modified>
  <dc:title>财政支出绩效评价报告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7AEF8C77D0DC41A6A7634A97F3154CEC</vt:lpwstr>
  </property>
</Properties>
</file>